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534CB" w:rsidR="00447E10" w:rsidP="00447E10" w:rsidRDefault="00447E10" w14:paraId="50ABC4BB" w14:textId="6CD574A3">
      <w:pPr>
        <w:rPr>
          <w:caps/>
          <w:color w:val="00524F"/>
          <w:lang w:val="es-ES"/>
        </w:rPr>
      </w:pPr>
      <w:r w:rsidRPr="007534CB">
        <w:rPr>
          <w:caps/>
          <w:color w:val="00524F"/>
          <w:lang w:val="es-ES"/>
        </w:rPr>
        <w:t xml:space="preserve">Press Release </w:t>
      </w:r>
      <w:r w:rsidR="007534CB">
        <w:rPr>
          <w:rFonts w:asciiTheme="minorHAnsi" w:hAnsiTheme="minorHAnsi" w:cstheme="minorHAnsi"/>
          <w:b/>
          <w:caps/>
          <w:color w:val="00524F"/>
          <w:lang w:val="es-ES"/>
        </w:rPr>
        <w:t>28/02/2025</w:t>
      </w:r>
    </w:p>
    <w:p w:rsidRPr="007534CB" w:rsidR="00404271" w:rsidP="00404271" w:rsidRDefault="00404271" w14:paraId="68A729F3" w14:textId="77777777">
      <w:pPr>
        <w:rPr>
          <w:lang w:val="es-ES"/>
        </w:rPr>
      </w:pPr>
    </w:p>
    <w:p w:rsidR="00A41C33" w:rsidP="008A16C1" w:rsidRDefault="007534CB" w14:paraId="700149C8" w14:textId="601FFF04">
      <w:pPr>
        <w:pStyle w:val="Titre2"/>
        <w:rPr>
          <w:lang w:val="es-ES"/>
        </w:rPr>
      </w:pP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y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firman un convenio para impulsar la internacionalización de las empresas españolas</w:t>
      </w:r>
    </w:p>
    <w:p w:rsidRPr="007534CB" w:rsidR="007534CB" w:rsidP="007534CB" w:rsidRDefault="007534CB" w14:paraId="5353A020" w14:textId="77777777">
      <w:pPr>
        <w:jc w:val="both"/>
        <w:rPr>
          <w:lang w:val="es-ES"/>
        </w:rPr>
      </w:pPr>
    </w:p>
    <w:p w:rsidRPr="007534CB" w:rsidR="007534CB" w:rsidP="007534CB" w:rsidRDefault="007534CB" w14:paraId="4E4FC3DA" w14:textId="38551F28">
      <w:pPr>
        <w:pStyle w:val="Paragraphedeliste"/>
        <w:numPr>
          <w:ilvl w:val="0"/>
          <w:numId w:val="19"/>
        </w:numPr>
        <w:jc w:val="both"/>
        <w:rPr>
          <w:lang w:val="es-ES"/>
        </w:rPr>
      </w:pPr>
      <w:r w:rsidRPr="007534CB">
        <w:rPr>
          <w:lang w:val="es-ES"/>
        </w:rPr>
        <w:t>El convenio permitirá a pymes y grandes empresas acceder a coberturas de riesgos y productos financieros necesarios para su internacionalización.</w:t>
      </w:r>
    </w:p>
    <w:p w:rsidRPr="007534CB" w:rsidR="007534CB" w:rsidP="007534CB" w:rsidRDefault="007534CB" w14:paraId="651965EC" w14:textId="71AD5251">
      <w:pPr>
        <w:pStyle w:val="Paragraphedeliste"/>
        <w:numPr>
          <w:ilvl w:val="0"/>
          <w:numId w:val="19"/>
        </w:numPr>
        <w:jc w:val="both"/>
        <w:rPr>
          <w:lang w:val="es-ES"/>
        </w:rPr>
      </w:pP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integrará las calificaciones crediticias de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Ratings en el estudio de las solicitudes de cobertura por Cuenta del Estado para agilizar la tramitación de los expedientes de internacionalización de las empresas.     </w:t>
      </w:r>
    </w:p>
    <w:p w:rsidRPr="007534CB" w:rsidR="007534CB" w:rsidP="007534CB" w:rsidRDefault="007534CB" w14:paraId="1A6805DF" w14:textId="77777777">
      <w:pPr>
        <w:jc w:val="both"/>
        <w:rPr>
          <w:lang w:val="es-ES"/>
        </w:rPr>
      </w:pPr>
    </w:p>
    <w:p w:rsidR="007534CB" w:rsidP="007534CB" w:rsidRDefault="007534CB" w14:paraId="23B60E83" w14:textId="77777777">
      <w:pPr>
        <w:jc w:val="both"/>
        <w:rPr>
          <w:lang w:val="es-ES"/>
        </w:rPr>
      </w:pPr>
      <w:r w:rsidRPr="007534CB">
        <w:rPr>
          <w:b/>
          <w:bCs/>
          <w:color w:val="00524F"/>
          <w:lang w:val="es-ES"/>
        </w:rPr>
        <w:t>Madrid, 27 de febrero de 2025</w:t>
      </w:r>
      <w:r w:rsidRPr="007534CB">
        <w:rPr>
          <w:lang w:val="es-ES"/>
        </w:rPr>
        <w:t xml:space="preserve">.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y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Ratings, agencia europea de calificación crediticia, han suscrito un convenio para impulsar la financiación de compañías en proceso de internacionalización y las calificadas como consumidores </w:t>
      </w:r>
      <w:proofErr w:type="spellStart"/>
      <w:r w:rsidRPr="007534CB">
        <w:rPr>
          <w:lang w:val="es-ES"/>
        </w:rPr>
        <w:t>electrointensivos</w:t>
      </w:r>
      <w:proofErr w:type="spellEnd"/>
      <w:r w:rsidRPr="007534CB">
        <w:rPr>
          <w:lang w:val="es-ES"/>
        </w:rPr>
        <w:t>.</w:t>
      </w:r>
    </w:p>
    <w:p w:rsidRPr="007534CB" w:rsidR="007534CB" w:rsidP="007534CB" w:rsidRDefault="007534CB" w14:paraId="1C8F2C16" w14:textId="77777777">
      <w:pPr>
        <w:jc w:val="both"/>
        <w:rPr>
          <w:lang w:val="es-ES"/>
        </w:rPr>
      </w:pPr>
    </w:p>
    <w:p w:rsidR="007534CB" w:rsidP="007534CB" w:rsidRDefault="007534CB" w14:paraId="1A576A8B" w14:textId="77777777">
      <w:pPr>
        <w:jc w:val="both"/>
        <w:rPr>
          <w:lang w:val="es-ES"/>
        </w:rPr>
      </w:pPr>
      <w:r w:rsidRPr="007534CB">
        <w:rPr>
          <w:lang w:val="es-ES"/>
        </w:rPr>
        <w:t xml:space="preserve">En concreto,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integrará las calificaciones crediticias emitidas por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Ratings como parte de su análisis de riesgo corporativo vinculados al estudio de las solicitudes de cobertura por Cuenta del Estado, con el objetivo de agilizar a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y a las empresas solicitantes la tramitación de los expedientes de acceso a las coberturas de riesgos y productos financieros necesarios para su internacionalización. </w:t>
      </w:r>
    </w:p>
    <w:p w:rsidRPr="007534CB" w:rsidR="007534CB" w:rsidP="007534CB" w:rsidRDefault="007534CB" w14:paraId="4315A31F" w14:textId="77777777">
      <w:pPr>
        <w:jc w:val="both"/>
        <w:rPr>
          <w:lang w:val="es-ES"/>
        </w:rPr>
      </w:pPr>
    </w:p>
    <w:p w:rsidR="007534CB" w:rsidP="007534CB" w:rsidRDefault="007534CB" w14:paraId="269F1DC1" w14:textId="77777777">
      <w:pPr>
        <w:jc w:val="both"/>
        <w:rPr>
          <w:lang w:val="es-ES"/>
        </w:rPr>
      </w:pPr>
      <w:r w:rsidRPr="007534CB">
        <w:rPr>
          <w:lang w:val="es-ES"/>
        </w:rPr>
        <w:t xml:space="preserve">Además, el acuerdo contempla el apoyo comercial mutuo.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Ratings comunicará los productos y servicios de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entre sus clientes, lo que refuerza su posición como agencia de calificación crediticia europea líder en el apoyo a pymes y grandes empresas. Por su parte,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divulgará las herramientas y calificaciones de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como parte de su plan de impulso para la internacionalización de las empresas españolas. </w:t>
      </w:r>
    </w:p>
    <w:p w:rsidRPr="007534CB" w:rsidR="007534CB" w:rsidP="007534CB" w:rsidRDefault="007534CB" w14:paraId="49C54A32" w14:textId="77777777">
      <w:pPr>
        <w:jc w:val="both"/>
        <w:rPr>
          <w:lang w:val="es-ES"/>
        </w:rPr>
      </w:pPr>
    </w:p>
    <w:p w:rsidR="007534CB" w:rsidP="007534CB" w:rsidRDefault="007534CB" w14:paraId="414544FD" w14:textId="77777777">
      <w:pPr>
        <w:jc w:val="both"/>
        <w:rPr>
          <w:lang w:val="es-ES"/>
        </w:rPr>
      </w:pPr>
      <w:r w:rsidRPr="007534CB">
        <w:rPr>
          <w:lang w:val="es-ES"/>
        </w:rPr>
        <w:t xml:space="preserve">De esta manera,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y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 Ratings trabajarán conjuntamente en la realización de actividades educativas, eventos informativos y acciones conjuntas para fomentar la inclusión financiera de pymes y grandes empresas, y la competitividad del tejido empresarial.</w:t>
      </w:r>
    </w:p>
    <w:p w:rsidRPr="007534CB" w:rsidR="007534CB" w:rsidP="007534CB" w:rsidRDefault="007534CB" w14:paraId="42E7090F" w14:textId="77777777">
      <w:pPr>
        <w:jc w:val="both"/>
        <w:rPr>
          <w:lang w:val="es-ES"/>
        </w:rPr>
      </w:pPr>
    </w:p>
    <w:p w:rsidRPr="00E14ECE" w:rsidR="007534CB" w:rsidP="007534CB" w:rsidRDefault="007534CB" w14:paraId="19746984" w14:textId="77777777">
      <w:pPr>
        <w:jc w:val="both"/>
        <w:rPr>
          <w:i/>
          <w:iCs/>
          <w:lang w:val="es-ES"/>
        </w:rPr>
      </w:pPr>
      <w:r w:rsidRPr="007534CB">
        <w:rPr>
          <w:lang w:val="es-ES"/>
        </w:rPr>
        <w:t xml:space="preserve">En palabras del presidente ejecutivo de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, Pablo de Ramón-Laca, </w:t>
      </w:r>
      <w:r w:rsidRPr="00E14ECE">
        <w:rPr>
          <w:i/>
          <w:iCs/>
          <w:lang w:val="es-ES"/>
        </w:rPr>
        <w:t>“esta colaboración nos permite optimizar nuestros procesos de análisis de riesgos y beneficiar directamente a las empresas reduciendo los tiempos de tramitación. Estamos comprometidos con facilitar a las empresas españolas herramientas que les permitan afrontar sus retos de financiación con garantías y contribuir a su expansión y crecimiento”.</w:t>
      </w:r>
    </w:p>
    <w:p w:rsidRPr="00E14ECE" w:rsidR="007534CB" w:rsidP="007534CB" w:rsidRDefault="007534CB" w14:paraId="7B020952" w14:textId="77777777">
      <w:pPr>
        <w:jc w:val="both"/>
        <w:rPr>
          <w:i/>
          <w:iCs/>
          <w:lang w:val="es-ES"/>
        </w:rPr>
      </w:pPr>
    </w:p>
    <w:p w:rsidRPr="005E400D" w:rsidR="007534CB" w:rsidP="007534CB" w:rsidRDefault="007534CB" w14:paraId="2200AAFF" w14:textId="77777777">
      <w:pPr>
        <w:jc w:val="both"/>
        <w:rPr>
          <w:i/>
          <w:iCs/>
          <w:lang w:val="es-ES"/>
        </w:rPr>
      </w:pPr>
      <w:r w:rsidRPr="007534CB">
        <w:rPr>
          <w:lang w:val="es-ES"/>
        </w:rPr>
        <w:t xml:space="preserve">Por su parte, Carol </w:t>
      </w:r>
      <w:proofErr w:type="spellStart"/>
      <w:r w:rsidRPr="007534CB">
        <w:rPr>
          <w:lang w:val="es-ES"/>
        </w:rPr>
        <w:t>Sirou</w:t>
      </w:r>
      <w:proofErr w:type="spellEnd"/>
      <w:r w:rsidRPr="007534CB">
        <w:rPr>
          <w:lang w:val="es-ES"/>
        </w:rPr>
        <w:t xml:space="preserve">, directora general de </w:t>
      </w:r>
      <w:proofErr w:type="spellStart"/>
      <w:r w:rsidRPr="007534CB">
        <w:rPr>
          <w:lang w:val="es-ES"/>
        </w:rPr>
        <w:t>EthiFinance</w:t>
      </w:r>
      <w:proofErr w:type="spellEnd"/>
      <w:r w:rsidRPr="007534CB">
        <w:rPr>
          <w:lang w:val="es-ES"/>
        </w:rPr>
        <w:t xml:space="preserve">, ha señalado que </w:t>
      </w:r>
      <w:r w:rsidRPr="005E400D">
        <w:rPr>
          <w:i/>
          <w:iCs/>
          <w:lang w:val="es-ES"/>
        </w:rPr>
        <w:t xml:space="preserve">“este acuerdo es otra evidencia de la importancia de que las empresas cuenten con un rating no solo para financiarse en los mercados institucionales y alternativos sino también como carta de presentación con una variedad de </w:t>
      </w:r>
      <w:proofErr w:type="spellStart"/>
      <w:r w:rsidRPr="005E400D">
        <w:rPr>
          <w:i/>
          <w:iCs/>
          <w:lang w:val="es-ES"/>
        </w:rPr>
        <w:t>stakeholders</w:t>
      </w:r>
      <w:proofErr w:type="spellEnd"/>
      <w:r w:rsidRPr="005E400D">
        <w:rPr>
          <w:i/>
          <w:iCs/>
          <w:lang w:val="es-ES"/>
        </w:rPr>
        <w:t xml:space="preserve">. Desde </w:t>
      </w:r>
      <w:proofErr w:type="spellStart"/>
      <w:r w:rsidRPr="005E400D">
        <w:rPr>
          <w:i/>
          <w:iCs/>
          <w:lang w:val="es-ES"/>
        </w:rPr>
        <w:t>EthiFinance</w:t>
      </w:r>
      <w:proofErr w:type="spellEnd"/>
      <w:r w:rsidRPr="005E400D">
        <w:rPr>
          <w:i/>
          <w:iCs/>
          <w:lang w:val="es-ES"/>
        </w:rPr>
        <w:t xml:space="preserve">, agradecemos la confianza de </w:t>
      </w:r>
      <w:proofErr w:type="spellStart"/>
      <w:r w:rsidRPr="005E400D">
        <w:rPr>
          <w:i/>
          <w:iCs/>
          <w:lang w:val="es-ES"/>
        </w:rPr>
        <w:t>Cesce</w:t>
      </w:r>
      <w:proofErr w:type="spellEnd"/>
      <w:r w:rsidRPr="005E400D">
        <w:rPr>
          <w:i/>
          <w:iCs/>
          <w:lang w:val="es-ES"/>
        </w:rPr>
        <w:t xml:space="preserve"> en nuestros ratings en sus procesos de concesión de riesgos”.</w:t>
      </w:r>
    </w:p>
    <w:p w:rsidRPr="005E400D" w:rsidR="007534CB" w:rsidP="007534CB" w:rsidRDefault="007534CB" w14:paraId="0EACBB67" w14:textId="77777777">
      <w:pPr>
        <w:jc w:val="both"/>
        <w:rPr>
          <w:i/>
          <w:iCs/>
          <w:lang w:val="es-ES"/>
        </w:rPr>
      </w:pPr>
    </w:p>
    <w:p w:rsidRPr="007534CB" w:rsidR="007534CB" w:rsidP="007534CB" w:rsidRDefault="007534CB" w14:paraId="139E0BD4" w14:textId="77777777">
      <w:pPr>
        <w:pStyle w:val="Titre3"/>
        <w:rPr>
          <w:lang w:val="es-ES"/>
        </w:rPr>
      </w:pPr>
      <w:r w:rsidRPr="007534CB">
        <w:rPr>
          <w:lang w:val="es-ES"/>
        </w:rPr>
        <w:t xml:space="preserve">Sobre </w:t>
      </w:r>
      <w:proofErr w:type="spellStart"/>
      <w:r w:rsidRPr="007534CB">
        <w:rPr>
          <w:lang w:val="es-ES"/>
        </w:rPr>
        <w:t>Cesce</w:t>
      </w:r>
      <w:proofErr w:type="spellEnd"/>
    </w:p>
    <w:p w:rsidRPr="007534CB" w:rsidR="007534CB" w:rsidP="007534CB" w:rsidRDefault="007534CB" w14:paraId="31387A57" w14:textId="77777777">
      <w:pPr>
        <w:jc w:val="both"/>
        <w:rPr>
          <w:lang w:val="es-ES"/>
        </w:rPr>
      </w:pP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, Compañía Española de Seguros de Crédito a la Exportación, es la cabecera de un grupo de empresas que ofrece soluciones integrales para la gestión del riesgo comercial y la emisión de seguro de caución y garantías en Europa y Latinoamérica. Además, actúa como Agencia de Crédito a la Exportación (ECA) por Cuenta del Estado Español, gestionando el seguro de crédito a la exportación y la cobertura de los riesgos a medio y largo plazo de los consumidores </w:t>
      </w:r>
      <w:proofErr w:type="spellStart"/>
      <w:r w:rsidRPr="007534CB">
        <w:rPr>
          <w:lang w:val="es-ES"/>
        </w:rPr>
        <w:t>electrointensivos</w:t>
      </w:r>
      <w:proofErr w:type="spellEnd"/>
      <w:r w:rsidRPr="007534CB">
        <w:rPr>
          <w:lang w:val="es-ES"/>
        </w:rPr>
        <w:t xml:space="preserve">. </w:t>
      </w:r>
      <w:proofErr w:type="spellStart"/>
      <w:r w:rsidRPr="007534CB">
        <w:rPr>
          <w:lang w:val="es-ES"/>
        </w:rPr>
        <w:t>Cesce</w:t>
      </w:r>
      <w:proofErr w:type="spellEnd"/>
      <w:r w:rsidRPr="007534CB">
        <w:rPr>
          <w:lang w:val="es-ES"/>
        </w:rPr>
        <w:t xml:space="preserve"> impulsa el crecimiento a largo plazo de sus más de 120.000 clientes, facilitándoles soluciones inteligentes para la gestión del crédito comercial que abarcan toda la cadena de valor del negocio – prospección de mercados, gestión y transferencia del riesgo y acceso a la financiación – y soluciones de caución y garantías que les permitan abordar nuevos proyectos y negocios. Tras más de 50 años en el mercado, la compañía ha demostrado ser un grupo estable y la aseguradora más solvente de las principales compañías españolas y europeas del ramo de los seguros de crédito y de caución con una ratio de solvencia del 252% al cierre del ejercicio 2022.</w:t>
      </w:r>
    </w:p>
    <w:p w:rsidRPr="007534CB" w:rsidR="007534CB" w:rsidP="007534CB" w:rsidRDefault="007534CB" w14:paraId="5EBA2988" w14:textId="77777777">
      <w:pPr>
        <w:jc w:val="both"/>
        <w:rPr>
          <w:lang w:val="es-ES"/>
        </w:rPr>
      </w:pPr>
    </w:p>
    <w:p w:rsidRPr="007534CB" w:rsidR="007534CB" w:rsidP="007534CB" w:rsidRDefault="007534CB" w14:paraId="26D81CA7" w14:textId="014544B2">
      <w:pPr>
        <w:pStyle w:val="Titre3"/>
        <w:rPr>
          <w:lang w:val="es-ES"/>
        </w:rPr>
      </w:pPr>
      <w:r w:rsidRPr="3604602D" w:rsidR="007534CB">
        <w:rPr>
          <w:lang w:val="es-ES"/>
        </w:rPr>
        <w:t xml:space="preserve">Sobre </w:t>
      </w:r>
      <w:r w:rsidRPr="3604602D" w:rsidR="007534CB">
        <w:rPr>
          <w:lang w:val="es-ES"/>
        </w:rPr>
        <w:t>EthiFinance</w:t>
      </w:r>
      <w:r w:rsidRPr="3604602D" w:rsidR="007534CB">
        <w:rPr>
          <w:lang w:val="es-ES"/>
        </w:rPr>
        <w:t xml:space="preserve"> </w:t>
      </w:r>
    </w:p>
    <w:p w:rsidRPr="00E14ECE" w:rsidR="007534CB" w:rsidP="3604602D" w:rsidRDefault="007534CB" w14:paraId="71F2237F" w14:textId="064E7F47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604602D" w:rsidR="22DD6A0A">
        <w:rPr>
          <w:noProof w:val="0"/>
          <w:lang w:val="es-ES"/>
        </w:rPr>
        <w:t xml:space="preserve">Actor europeo de referencia en finanzas sostenibles, </w:t>
      </w:r>
      <w:r w:rsidRPr="3604602D" w:rsidR="22DD6A0A">
        <w:rPr>
          <w:noProof w:val="0"/>
          <w:lang w:val="es-ES"/>
        </w:rPr>
        <w:t>EthiFinance</w:t>
      </w:r>
      <w:r w:rsidRPr="3604602D" w:rsidR="22DD6A0A">
        <w:rPr>
          <w:noProof w:val="0"/>
          <w:lang w:val="es-ES"/>
        </w:rPr>
        <w:t xml:space="preserve"> ha acompañado a más de 400 clientes desde 2004 gracias a su experiencia en calificación, investigación y asesoramiento.</w:t>
      </w:r>
    </w:p>
    <w:p w:rsidRPr="00E14ECE" w:rsidR="007534CB" w:rsidP="3604602D" w:rsidRDefault="007534CB" w14:paraId="11390305" w14:textId="0A5CED7E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604602D" w:rsidR="22DD6A0A">
        <w:rPr>
          <w:noProof w:val="0"/>
          <w:lang w:val="es-ES"/>
        </w:rPr>
        <w:t>Ofrece a inversores y empresas soluciones estratégicas adaptadas a los desafíos de un entorno económico, financiero y normativo en constante evolución.</w:t>
      </w:r>
    </w:p>
    <w:p w:rsidRPr="00E14ECE" w:rsidR="007534CB" w:rsidP="3604602D" w:rsidRDefault="007534CB" w14:paraId="06A37386" w14:textId="15BEC3AD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604602D" w:rsidR="22DD6A0A">
        <w:rPr>
          <w:noProof w:val="0"/>
          <w:lang w:val="es-ES"/>
        </w:rPr>
        <w:t xml:space="preserve">Fiel a sus valores de independencia, excelencia y responsabilidad, </w:t>
      </w:r>
      <w:r w:rsidRPr="3604602D" w:rsidR="22DD6A0A">
        <w:rPr>
          <w:noProof w:val="0"/>
          <w:lang w:val="es-ES"/>
        </w:rPr>
        <w:t>EthiFinance</w:t>
      </w:r>
      <w:r w:rsidRPr="3604602D" w:rsidR="22DD6A0A">
        <w:rPr>
          <w:noProof w:val="0"/>
          <w:lang w:val="es-ES"/>
        </w:rPr>
        <w:t xml:space="preserve"> adopta un enfoque europeo distintivo, combinando rigor analítico y compromiso al servicio del rendimiento y la resiliencia empresarial.</w:t>
      </w:r>
    </w:p>
    <w:p w:rsidRPr="00E14ECE" w:rsidR="007534CB" w:rsidP="3604602D" w:rsidRDefault="007534CB" w14:paraId="1E844EC7" w14:textId="1FD3A2D3">
      <w:pPr>
        <w:pStyle w:val="Normal"/>
        <w:rPr>
          <w:lang w:val="es-ES"/>
        </w:rPr>
      </w:pPr>
    </w:p>
    <w:p w:rsidR="007534CB" w:rsidP="007534CB" w:rsidRDefault="007534CB" w14:paraId="231BF4D6" w14:textId="480389B1">
      <w:pPr>
        <w:pStyle w:val="Titre2"/>
      </w:pPr>
      <w:r>
        <w:t xml:space="preserve">Contact de prensa </w:t>
      </w:r>
    </w:p>
    <w:p w:rsidR="007534CB" w:rsidP="007534CB" w:rsidRDefault="007534CB" w14:paraId="29480CDB" w14:textId="77777777">
      <w:pPr>
        <w:rPr>
          <w:lang w:val="es-ES"/>
        </w:rPr>
      </w:pPr>
    </w:p>
    <w:p w:rsidRPr="007534CB" w:rsidR="007534CB" w:rsidP="007534CB" w:rsidRDefault="007534CB" w14:paraId="39B3DAB7" w14:textId="77777777">
      <w:pPr>
        <w:rPr>
          <w:lang w:val="es-ES"/>
        </w:rPr>
      </w:pPr>
      <w:proofErr w:type="spellStart"/>
      <w:r w:rsidRPr="007534CB">
        <w:rPr>
          <w:rStyle w:val="Titre4Car"/>
          <w:lang w:val="es-ES"/>
        </w:rPr>
        <w:t>Cesce</w:t>
      </w:r>
      <w:proofErr w:type="spellEnd"/>
      <w:r w:rsidRPr="007534CB">
        <w:rPr>
          <w:rStyle w:val="Titre4Car"/>
          <w:lang w:val="es-ES"/>
        </w:rPr>
        <w:t xml:space="preserve">      </w:t>
      </w:r>
      <w:r w:rsidRPr="007534CB">
        <w:rPr>
          <w:lang w:val="es-ES"/>
        </w:rPr>
        <w:t xml:space="preserve">                                                  </w:t>
      </w:r>
      <w:r w:rsidRPr="007534CB">
        <w:rPr>
          <w:rStyle w:val="Titre4Car"/>
          <w:lang w:val="es-ES"/>
        </w:rPr>
        <w:tab/>
      </w:r>
      <w:r w:rsidRPr="007534CB">
        <w:rPr>
          <w:rStyle w:val="Titre4Car"/>
          <w:lang w:val="es-ES"/>
        </w:rPr>
        <w:tab/>
      </w:r>
      <w:proofErr w:type="spellStart"/>
      <w:r w:rsidRPr="007534CB">
        <w:rPr>
          <w:rStyle w:val="Titre4Car"/>
          <w:lang w:val="es-ES"/>
        </w:rPr>
        <w:t>EthiFinance</w:t>
      </w:r>
      <w:proofErr w:type="spellEnd"/>
    </w:p>
    <w:p w:rsidRPr="007534CB" w:rsidR="007534CB" w:rsidP="007534CB" w:rsidRDefault="007534CB" w14:paraId="43DA5F12" w14:textId="77777777">
      <w:pPr>
        <w:rPr>
          <w:lang w:val="es-ES"/>
        </w:rPr>
      </w:pPr>
      <w:r w:rsidRPr="007534CB">
        <w:rPr>
          <w:lang w:val="es-ES"/>
        </w:rPr>
        <w:t xml:space="preserve">Sara </w:t>
      </w:r>
      <w:proofErr w:type="spellStart"/>
      <w:r w:rsidRPr="007534CB">
        <w:rPr>
          <w:lang w:val="es-ES"/>
        </w:rPr>
        <w:t>Jusuy</w:t>
      </w:r>
      <w:proofErr w:type="spellEnd"/>
      <w:r w:rsidRPr="007534CB">
        <w:rPr>
          <w:lang w:val="es-ES"/>
        </w:rPr>
        <w:t xml:space="preserve"> Rodríguez                             </w:t>
      </w:r>
      <w:r w:rsidRPr="007534CB">
        <w:rPr>
          <w:lang w:val="es-ES"/>
        </w:rPr>
        <w:tab/>
      </w:r>
      <w:r w:rsidRPr="007534CB">
        <w:rPr>
          <w:lang w:val="es-ES"/>
        </w:rPr>
        <w:t xml:space="preserve">    </w:t>
      </w:r>
      <w:r w:rsidRPr="007534CB">
        <w:rPr>
          <w:lang w:val="es-ES"/>
        </w:rPr>
        <w:tab/>
      </w:r>
      <w:r w:rsidRPr="007534CB">
        <w:rPr>
          <w:lang w:val="es-ES"/>
        </w:rPr>
        <w:t>Enrique San Valentín (</w:t>
      </w:r>
      <w:proofErr w:type="spellStart"/>
      <w:r w:rsidRPr="007534CB">
        <w:rPr>
          <w:lang w:val="es-ES"/>
        </w:rPr>
        <w:t>Thinking</w:t>
      </w:r>
      <w:proofErr w:type="spellEnd"/>
      <w:r w:rsidRPr="007534CB">
        <w:rPr>
          <w:lang w:val="es-ES"/>
        </w:rPr>
        <w:t xml:space="preserve"> </w:t>
      </w:r>
      <w:proofErr w:type="spellStart"/>
      <w:r w:rsidRPr="007534CB">
        <w:rPr>
          <w:lang w:val="es-ES"/>
        </w:rPr>
        <w:t>Heads</w:t>
      </w:r>
      <w:proofErr w:type="spellEnd"/>
      <w:r w:rsidRPr="007534CB">
        <w:rPr>
          <w:lang w:val="es-ES"/>
        </w:rPr>
        <w:t>)</w:t>
      </w:r>
    </w:p>
    <w:p w:rsidRPr="007534CB" w:rsidR="007534CB" w:rsidP="007534CB" w:rsidRDefault="007534CB" w14:paraId="2B7DFF0C" w14:textId="77777777">
      <w:pPr>
        <w:rPr>
          <w:lang w:val="es-ES"/>
        </w:rPr>
      </w:pPr>
      <w:r w:rsidRPr="007534CB">
        <w:rPr>
          <w:lang w:val="es-ES"/>
        </w:rPr>
        <w:t xml:space="preserve">T. +34 699 74 83 30                                     </w:t>
      </w:r>
      <w:r w:rsidRPr="007534CB">
        <w:rPr>
          <w:lang w:val="es-ES"/>
        </w:rPr>
        <w:tab/>
      </w:r>
      <w:r w:rsidRPr="007534CB">
        <w:rPr>
          <w:lang w:val="es-ES"/>
        </w:rPr>
        <w:tab/>
      </w:r>
      <w:r w:rsidRPr="007534CB">
        <w:rPr>
          <w:lang w:val="es-ES"/>
        </w:rPr>
        <w:t>T. +34 673 58 17 99</w:t>
      </w:r>
    </w:p>
    <w:p w:rsidRPr="007534CB" w:rsidR="007534CB" w:rsidP="60DED9D7" w:rsidRDefault="007534CB" w14:paraId="4E82FCBF" w14:textId="1BAE2A1B" w14:noSpellErr="1">
      <w:pPr>
        <w:rPr>
          <w:lang w:val="de-DE"/>
        </w:rPr>
      </w:pPr>
      <w:r w:rsidRPr="60DED9D7" w:rsidR="007534CB">
        <w:rPr>
          <w:lang w:val="de-DE"/>
        </w:rPr>
        <w:t xml:space="preserve">sjusuy@quum.com                                   </w:t>
      </w:r>
      <w:r>
        <w:tab/>
      </w:r>
      <w:r w:rsidRPr="60DED9D7" w:rsidR="007534CB">
        <w:rPr>
          <w:lang w:val="de-DE"/>
        </w:rPr>
        <w:t xml:space="preserve">  </w:t>
      </w:r>
      <w:r>
        <w:tab/>
      </w:r>
      <w:r w:rsidRPr="60DED9D7" w:rsidR="007534CB">
        <w:rPr>
          <w:lang w:val="de-DE"/>
        </w:rPr>
        <w:t>esv@thinkingheads.com</w:t>
      </w:r>
    </w:p>
    <w:sectPr w:rsidRPr="007534CB" w:rsidR="007534CB" w:rsidSect="00FC3847">
      <w:footerReference w:type="default" r:id="rId12"/>
      <w:headerReference w:type="first" r:id="rId13"/>
      <w:footerReference w:type="first" r:id="rId14"/>
      <w:type w:val="continuous"/>
      <w:pgSz w:w="11906" w:h="16838" w:orient="portrait"/>
      <w:pgMar w:top="851" w:right="851" w:bottom="176" w:left="851" w:header="283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B11CB" w:rsidP="00D926B9" w:rsidRDefault="008B11CB" w14:paraId="20CAC781" w14:textId="77777777">
      <w:pPr>
        <w:spacing w:line="240" w:lineRule="auto"/>
      </w:pPr>
      <w:r>
        <w:separator/>
      </w:r>
    </w:p>
  </w:endnote>
  <w:endnote w:type="continuationSeparator" w:id="0">
    <w:p w:rsidR="008B11CB" w:rsidP="00D926B9" w:rsidRDefault="008B11CB" w14:paraId="26192AB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gnika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Grilledutableau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78"/>
      <w:gridCol w:w="979"/>
      <w:gridCol w:w="6947"/>
    </w:tblGrid>
    <w:tr w:rsidR="00447E10" w:rsidTr="007D6513" w14:paraId="42C6B20F" w14:textId="77777777">
      <w:tc>
        <w:tcPr>
          <w:tcW w:w="10204" w:type="dxa"/>
          <w:gridSpan w:val="3"/>
          <w:tcBorders>
            <w:bottom w:val="single" w:color="00524F" w:sz="2" w:space="0"/>
          </w:tcBorders>
        </w:tcPr>
        <w:p w:rsidRPr="00BE6398" w:rsidR="00447E10" w:rsidP="00447E10" w:rsidRDefault="00447E10" w14:paraId="0530F8D5" w14:textId="77777777">
          <w:pPr>
            <w:pStyle w:val="Pieddepage"/>
            <w:spacing w:after="40"/>
            <w:jc w:val="right"/>
            <w:rPr>
              <w:noProof/>
              <w:sz w:val="16"/>
              <w:szCs w:val="16"/>
              <w:lang w:val="en-GB" w:eastAsia="en-GB"/>
            </w:rPr>
          </w:pPr>
        </w:p>
      </w:tc>
    </w:tr>
    <w:tr w:rsidR="00447E10" w:rsidTr="007D6513" w14:paraId="1BA454D3" w14:textId="77777777">
      <w:tc>
        <w:tcPr>
          <w:tcW w:w="10204" w:type="dxa"/>
          <w:gridSpan w:val="3"/>
          <w:tcBorders>
            <w:top w:val="single" w:color="00524F" w:sz="2" w:space="0"/>
          </w:tcBorders>
        </w:tcPr>
        <w:p w:rsidR="00447E10" w:rsidP="00447E10" w:rsidRDefault="00447E10" w14:paraId="5BA9C982" w14:textId="77777777">
          <w:pPr>
            <w:pStyle w:val="Pieddepage"/>
            <w:rPr>
              <w:noProof/>
              <w:lang w:val="en-GB" w:eastAsia="en-GB"/>
            </w:rPr>
          </w:pPr>
        </w:p>
      </w:tc>
    </w:tr>
    <w:tr w:rsidR="00447E10" w:rsidTr="007D6513" w14:paraId="6463C9BF" w14:textId="77777777">
      <w:tc>
        <w:tcPr>
          <w:tcW w:w="2278" w:type="dxa"/>
          <w:vAlign w:val="center"/>
        </w:tcPr>
        <w:p w:rsidR="00447E10" w:rsidP="00447E10" w:rsidRDefault="00447E10" w14:paraId="0A56D8E7" w14:textId="77777777">
          <w:pPr>
            <w:pStyle w:val="Pieddepage"/>
          </w:pPr>
          <w:r>
            <w:rPr>
              <w:noProof/>
              <w:lang w:val="en-GB" w:eastAsia="en-GB"/>
            </w:rPr>
            <w:drawing>
              <wp:inline distT="0" distB="0" distL="0" distR="0" wp14:anchorId="38E92C9E" wp14:editId="64618C87">
                <wp:extent cx="1439333" cy="258978"/>
                <wp:effectExtent l="0" t="0" r="0" b="8255"/>
                <wp:docPr id="127" name="Grafik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ethifinance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007" cy="279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9" w:type="dxa"/>
          <w:vAlign w:val="center"/>
        </w:tcPr>
        <w:p w:rsidR="00447E10" w:rsidP="00447E10" w:rsidRDefault="00447E10" w14:paraId="40CBDCE0" w14:textId="77777777">
          <w:pPr>
            <w:pStyle w:val="Pieddepage"/>
          </w:pPr>
        </w:p>
      </w:tc>
      <w:tc>
        <w:tcPr>
          <w:tcW w:w="6947" w:type="dxa"/>
          <w:vAlign w:val="center"/>
        </w:tcPr>
        <w:p w:rsidR="00447E10" w:rsidP="00447E10" w:rsidRDefault="00447E10" w14:paraId="67E557BD" w14:textId="77777777">
          <w:pPr>
            <w:pStyle w:val="Pieddepage"/>
            <w:jc w:val="right"/>
          </w:pPr>
          <w:r w:rsidRPr="00D156F3">
            <w:rPr>
              <w:color w:val="00524F"/>
              <w:sz w:val="16"/>
            </w:rPr>
            <w:t>www.ethifinance.com</w:t>
          </w:r>
        </w:p>
      </w:tc>
    </w:tr>
    <w:tr w:rsidR="00447E10" w:rsidTr="007D6513" w14:paraId="17361919" w14:textId="77777777">
      <w:tc>
        <w:tcPr>
          <w:tcW w:w="10204" w:type="dxa"/>
          <w:gridSpan w:val="3"/>
          <w:vAlign w:val="center"/>
        </w:tcPr>
        <w:p w:rsidRPr="000D4426" w:rsidR="00447E10" w:rsidP="00447E10" w:rsidRDefault="00447E10" w14:paraId="633F874A" w14:textId="77777777">
          <w:pPr>
            <w:pStyle w:val="Pieddepage"/>
            <w:rPr>
              <w:noProof/>
              <w:sz w:val="16"/>
              <w:lang w:val="en-GB" w:eastAsia="en-GB"/>
            </w:rPr>
          </w:pPr>
        </w:p>
      </w:tc>
    </w:tr>
  </w:tbl>
  <w:p w:rsidR="00363DB3" w:rsidRDefault="00363DB3" w14:paraId="116D87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Grilledutableau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78"/>
      <w:gridCol w:w="979"/>
      <w:gridCol w:w="6947"/>
    </w:tblGrid>
    <w:tr w:rsidR="00BE6398" w:rsidTr="00BE6398" w14:paraId="4CC32937" w14:textId="77777777">
      <w:tc>
        <w:tcPr>
          <w:tcW w:w="10204" w:type="dxa"/>
          <w:gridSpan w:val="3"/>
          <w:tcBorders>
            <w:bottom w:val="single" w:color="00524F" w:sz="2" w:space="0"/>
          </w:tcBorders>
        </w:tcPr>
        <w:p w:rsidRPr="00BE6398" w:rsidR="00BE6398" w:rsidP="00BE6398" w:rsidRDefault="00BE6398" w14:paraId="347D7A22" w14:textId="77777777">
          <w:pPr>
            <w:pStyle w:val="Pieddepage"/>
            <w:spacing w:after="40"/>
            <w:jc w:val="right"/>
            <w:rPr>
              <w:noProof/>
              <w:sz w:val="16"/>
              <w:szCs w:val="16"/>
              <w:lang w:val="en-GB" w:eastAsia="en-GB"/>
            </w:rPr>
          </w:pPr>
        </w:p>
      </w:tc>
    </w:tr>
    <w:tr w:rsidR="000D4426" w:rsidTr="00BE6398" w14:paraId="07075BB6" w14:textId="77777777">
      <w:tc>
        <w:tcPr>
          <w:tcW w:w="10204" w:type="dxa"/>
          <w:gridSpan w:val="3"/>
          <w:tcBorders>
            <w:top w:val="single" w:color="00524F" w:sz="2" w:space="0"/>
          </w:tcBorders>
        </w:tcPr>
        <w:p w:rsidR="000D4426" w:rsidRDefault="000D4426" w14:paraId="76110C07" w14:textId="77777777">
          <w:pPr>
            <w:pStyle w:val="Pieddepage"/>
            <w:rPr>
              <w:noProof/>
              <w:lang w:val="en-GB" w:eastAsia="en-GB"/>
            </w:rPr>
          </w:pPr>
        </w:p>
      </w:tc>
    </w:tr>
    <w:tr w:rsidR="00447E10" w:rsidTr="00F258F9" w14:paraId="39DF99A1" w14:textId="77777777">
      <w:tc>
        <w:tcPr>
          <w:tcW w:w="2278" w:type="dxa"/>
          <w:vAlign w:val="center"/>
        </w:tcPr>
        <w:p w:rsidR="00447E10" w:rsidP="003F53B4" w:rsidRDefault="00447E10" w14:paraId="40560FA3" w14:textId="77777777">
          <w:pPr>
            <w:pStyle w:val="Pieddepage"/>
          </w:pPr>
          <w:r>
            <w:rPr>
              <w:noProof/>
              <w:lang w:val="en-GB" w:eastAsia="en-GB"/>
            </w:rPr>
            <w:drawing>
              <wp:inline distT="0" distB="0" distL="0" distR="0" wp14:anchorId="4625B277" wp14:editId="2F3C643C">
                <wp:extent cx="1439333" cy="258978"/>
                <wp:effectExtent l="0" t="0" r="0" b="8255"/>
                <wp:docPr id="116" name="Grafik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ethifinance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007" cy="279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9" w:type="dxa"/>
          <w:vAlign w:val="center"/>
        </w:tcPr>
        <w:p w:rsidR="00447E10" w:rsidP="003F53B4" w:rsidRDefault="00447E10" w14:paraId="40A2B4BC" w14:textId="77777777">
          <w:pPr>
            <w:pStyle w:val="Pieddepage"/>
          </w:pPr>
        </w:p>
      </w:tc>
      <w:tc>
        <w:tcPr>
          <w:tcW w:w="6947" w:type="dxa"/>
          <w:vAlign w:val="center"/>
        </w:tcPr>
        <w:p w:rsidR="00447E10" w:rsidP="00447E10" w:rsidRDefault="00447E10" w14:paraId="3CFC65F1" w14:textId="77777777">
          <w:pPr>
            <w:pStyle w:val="Pieddepage"/>
            <w:jc w:val="right"/>
          </w:pPr>
          <w:r w:rsidRPr="00D156F3">
            <w:rPr>
              <w:color w:val="00524F"/>
              <w:sz w:val="16"/>
            </w:rPr>
            <w:t>www.ethifinance.com</w:t>
          </w:r>
        </w:p>
      </w:tc>
    </w:tr>
    <w:tr w:rsidR="000D4426" w:rsidTr="00640EE5" w14:paraId="202E1AEE" w14:textId="77777777">
      <w:tc>
        <w:tcPr>
          <w:tcW w:w="10204" w:type="dxa"/>
          <w:gridSpan w:val="3"/>
          <w:vAlign w:val="center"/>
        </w:tcPr>
        <w:p w:rsidRPr="000D4426" w:rsidR="000D4426" w:rsidP="003F53B4" w:rsidRDefault="000D4426" w14:paraId="52158F7A" w14:textId="77777777">
          <w:pPr>
            <w:pStyle w:val="Pieddepage"/>
            <w:rPr>
              <w:noProof/>
              <w:sz w:val="16"/>
              <w:lang w:val="en-GB" w:eastAsia="en-GB"/>
            </w:rPr>
          </w:pPr>
        </w:p>
      </w:tc>
    </w:tr>
  </w:tbl>
  <w:p w:rsidR="00910AE0" w:rsidRDefault="00910AE0" w14:paraId="23CBED9C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B11CB" w:rsidP="00D926B9" w:rsidRDefault="008B11CB" w14:paraId="5686DCEF" w14:textId="77777777">
      <w:pPr>
        <w:spacing w:line="240" w:lineRule="auto"/>
      </w:pPr>
      <w:r>
        <w:separator/>
      </w:r>
    </w:p>
  </w:footnote>
  <w:footnote w:type="continuationSeparator" w:id="0">
    <w:p w:rsidR="008B11CB" w:rsidP="00D926B9" w:rsidRDefault="008B11CB" w14:paraId="5BBA6E45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44712" w:rsidRDefault="00693325" w14:paraId="29397DB3" w14:textId="77777777">
    <w:pPr>
      <w:pStyle w:val="En-tte"/>
    </w:pPr>
    <w:r w:rsidRPr="002D2CA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4135F3F" wp14:editId="1639C3B0">
              <wp:simplePos x="0" y="0"/>
              <wp:positionH relativeFrom="leftMargin">
                <wp:posOffset>566420</wp:posOffset>
              </wp:positionH>
              <wp:positionV relativeFrom="margin">
                <wp:posOffset>-1127125</wp:posOffset>
              </wp:positionV>
              <wp:extent cx="4255135" cy="377825"/>
              <wp:effectExtent l="0" t="0" r="0" b="762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513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693325" w:rsidR="002D2CAE" w:rsidP="002D2CAE" w:rsidRDefault="00E65040" w14:paraId="578CB483" w14:textId="77777777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39"/>
                              <w:szCs w:val="39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39"/>
                              <w:szCs w:val="39"/>
                              <w:lang w:val="en-GB"/>
                            </w:rPr>
                            <w:t>We know ESG, we know Credit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D7835F">
            <v:shapetype id="_x0000_t202" coordsize="21600,21600" o:spt="202" path="m,l,21600r21600,l21600,xe" w14:anchorId="24135F3F">
              <v:stroke joinstyle="miter"/>
              <v:path gradientshapeok="t" o:connecttype="rect"/>
            </v:shapetype>
            <v:shape id="Textfeld 1" style="position:absolute;margin-left:44.6pt;margin-top:-88.75pt;width:335.05pt;height:29.75pt;z-index:251661311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">
              <v:textbox style="mso-fit-shape-to-text:t" inset="0,0,0,0">
                <w:txbxContent>
                  <w:p w:rsidRPr="00693325" w:rsidR="002D2CAE" w:rsidP="002D2CAE" w:rsidRDefault="00E65040" w14:paraId="30105716" w14:textId="77777777">
                    <w:pPr>
                      <w:spacing w:line="240" w:lineRule="auto"/>
                      <w:rPr>
                        <w:rFonts w:asciiTheme="minorHAnsi" w:hAnsiTheme="minorHAnsi" w:cstheme="minorHAnsi"/>
                        <w:color w:val="FFFFFF" w:themeColor="background1"/>
                        <w:sz w:val="39"/>
                        <w:szCs w:val="39"/>
                        <w:lang w:val="en-GB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background1"/>
                        <w:sz w:val="39"/>
                        <w:szCs w:val="39"/>
                        <w:lang w:val="en-GB"/>
                      </w:rPr>
                      <w:t>We know ESG, we know Credit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2D2CAE" w:rsidR="00A26D9F">
      <w:rPr>
        <w:noProof/>
        <w:lang w:val="en-GB" w:eastAsia="en-GB"/>
      </w:rPr>
      <w:drawing>
        <wp:anchor distT="0" distB="0" distL="114300" distR="114300" simplePos="0" relativeHeight="251660287" behindDoc="0" locked="0" layoutInCell="1" allowOverlap="1" wp14:anchorId="7DB4CEE2" wp14:editId="1C719D9A">
          <wp:simplePos x="0" y="0"/>
          <wp:positionH relativeFrom="column">
            <wp:posOffset>635</wp:posOffset>
          </wp:positionH>
          <wp:positionV relativeFrom="paragraph">
            <wp:posOffset>285115</wp:posOffset>
          </wp:positionV>
          <wp:extent cx="2289810" cy="411480"/>
          <wp:effectExtent l="0" t="0" r="0" b="7620"/>
          <wp:wrapNone/>
          <wp:docPr id="114" name="Grafik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thifinance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810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93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BFD092C" wp14:editId="5555A211">
              <wp:simplePos x="0" y="0"/>
              <wp:positionH relativeFrom="column">
                <wp:posOffset>-540385</wp:posOffset>
              </wp:positionH>
              <wp:positionV relativeFrom="paragraph">
                <wp:posOffset>-172085</wp:posOffset>
              </wp:positionV>
              <wp:extent cx="7551420" cy="1979930"/>
              <wp:effectExtent l="0" t="0" r="0" b="127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1979930"/>
                      </a:xfrm>
                      <a:prstGeom prst="rect">
                        <a:avLst/>
                      </a:prstGeom>
                      <a:gradFill>
                        <a:gsLst>
                          <a:gs pos="37000">
                            <a:srgbClr val="00524F">
                              <a:alpha val="43000"/>
                            </a:srgbClr>
                          </a:gs>
                          <a:gs pos="100000">
                            <a:schemeClr val="bg1">
                              <a:alpha val="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348A046E">
            <v:rect id="Rechteck 6" style="position:absolute;margin-left:-42.55pt;margin-top:-13.55pt;width:594.6pt;height:155.9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00524f" stroked="f" strokeweight="1pt" w14:anchorId="082D16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">
              <v:fill type="gradient" opacity="0" color2="white [3212]" colors="0 #00524f;24248f #00524f" angle="90" focus="100%" o:opacity2="28180f">
                <o:fill v:ext="view" type="gradientUnscaled"/>
              </v:fill>
            </v:rect>
          </w:pict>
        </mc:Fallback>
      </mc:AlternateContent>
    </w:r>
    <w:r w:rsidR="00897931">
      <w:rPr>
        <w:noProof/>
        <w:lang w:val="en-GB" w:eastAsia="en-GB"/>
      </w:rPr>
      <w:drawing>
        <wp:anchor distT="0" distB="0" distL="114300" distR="114300" simplePos="0" relativeHeight="251656189" behindDoc="0" locked="0" layoutInCell="1" allowOverlap="1" wp14:anchorId="76AEE77D" wp14:editId="2EF3A929">
          <wp:simplePos x="0" y="0"/>
          <wp:positionH relativeFrom="column">
            <wp:posOffset>-540385</wp:posOffset>
          </wp:positionH>
          <wp:positionV relativeFrom="paragraph">
            <wp:posOffset>-172085</wp:posOffset>
          </wp:positionV>
          <wp:extent cx="7558405" cy="1979930"/>
          <wp:effectExtent l="0" t="0" r="4445" b="1270"/>
          <wp:wrapTopAndBottom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_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" t="25763" r="508" b="28226"/>
                  <a:stretch/>
                </pic:blipFill>
                <pic:spPr bwMode="auto">
                  <a:xfrm>
                    <a:off x="0" y="0"/>
                    <a:ext cx="7558405" cy="1979930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lumMod val="5000"/>
                          <a:lumOff val="95000"/>
                          <a:alpha val="1000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37.1pt;height:37.1pt" o:bullet="t" type="#_x0000_t75">
        <v:imagedata o:title="ethifinance_diamond_green_01" r:id="rId1"/>
      </v:shape>
    </w:pict>
  </w:numPicBullet>
  <w:numPicBullet w:numPicBulletId="1">
    <w:pict>
      <v:shape id="_x0000_i1027" style="width:288.05pt;height:289.05pt" o:bullet="t" type="#_x0000_t75">
        <v:imagedata o:title="LosangePlainSage" r:id="rId2"/>
      </v:shape>
    </w:pict>
  </w:numPicBullet>
  <w:abstractNum w:abstractNumId="0" w15:restartNumberingAfterBreak="0">
    <w:nsid w:val="023D1BD3"/>
    <w:multiLevelType w:val="multilevel"/>
    <w:tmpl w:val="11B4AB8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" w15:restartNumberingAfterBreak="0">
    <w:nsid w:val="04F14E32"/>
    <w:multiLevelType w:val="multilevel"/>
    <w:tmpl w:val="92DED9B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 w15:restartNumberingAfterBreak="0">
    <w:nsid w:val="07824857"/>
    <w:multiLevelType w:val="hybridMultilevel"/>
    <w:tmpl w:val="E5429DA2"/>
    <w:lvl w:ilvl="0" w:tplc="59742E4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BD3B77"/>
    <w:multiLevelType w:val="hybridMultilevel"/>
    <w:tmpl w:val="1EA4E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D1743"/>
    <w:multiLevelType w:val="multilevel"/>
    <w:tmpl w:val="E5B00FD0"/>
    <w:lvl w:ilvl="0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 w15:restartNumberingAfterBreak="0">
    <w:nsid w:val="1DED38F0"/>
    <w:multiLevelType w:val="hybridMultilevel"/>
    <w:tmpl w:val="35902FEE"/>
    <w:lvl w:ilvl="0" w:tplc="274ABC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56E33"/>
    <w:multiLevelType w:val="hybridMultilevel"/>
    <w:tmpl w:val="AD8C823C"/>
    <w:lvl w:ilvl="0" w:tplc="08090001">
      <w:start w:val="1"/>
      <w:numFmt w:val="bullet"/>
      <w:lvlText w:val=""/>
      <w:lvlJc w:val="left"/>
      <w:pPr>
        <w:ind w:left="76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hint="default" w:ascii="Wingdings" w:hAnsi="Wingdings"/>
      </w:rPr>
    </w:lvl>
  </w:abstractNum>
  <w:abstractNum w:abstractNumId="7" w15:restartNumberingAfterBreak="0">
    <w:nsid w:val="28771E78"/>
    <w:multiLevelType w:val="multilevel"/>
    <w:tmpl w:val="8F8EA78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8" w15:restartNumberingAfterBreak="0">
    <w:nsid w:val="2CCB137E"/>
    <w:multiLevelType w:val="hybridMultilevel"/>
    <w:tmpl w:val="F50A2E9E"/>
    <w:lvl w:ilvl="0" w:tplc="D7DA5C62">
      <w:start w:val="1"/>
      <w:numFmt w:val="bullet"/>
      <w:lvlText w:val=""/>
      <w:lvlPicBulletId w:val="1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3A534678"/>
    <w:multiLevelType w:val="hybridMultilevel"/>
    <w:tmpl w:val="4B7AFD6C"/>
    <w:lvl w:ilvl="0" w:tplc="7A4A0D0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ED7D31" w:themeColor="accent2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3E30B02"/>
    <w:multiLevelType w:val="multilevel"/>
    <w:tmpl w:val="1ED6799C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1" w15:restartNumberingAfterBreak="0">
    <w:nsid w:val="4924224F"/>
    <w:multiLevelType w:val="hybridMultilevel"/>
    <w:tmpl w:val="E5D24C04"/>
    <w:lvl w:ilvl="0" w:tplc="88DA8C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D1E0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FEF41FA"/>
    <w:multiLevelType w:val="hybridMultilevel"/>
    <w:tmpl w:val="3FD07EA2"/>
    <w:lvl w:ilvl="0" w:tplc="A3BCFD28">
      <w:start w:val="1"/>
      <w:numFmt w:val="bullet"/>
      <w:pStyle w:val="Paragraphedeliste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CB2524"/>
    <w:multiLevelType w:val="hybridMultilevel"/>
    <w:tmpl w:val="2A7AF8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D313668"/>
    <w:multiLevelType w:val="hybridMultilevel"/>
    <w:tmpl w:val="D3DAFD64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BEA0A28"/>
    <w:multiLevelType w:val="hybridMultilevel"/>
    <w:tmpl w:val="B2EC7C96"/>
    <w:lvl w:ilvl="0" w:tplc="88DA8C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D1E0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D131CEB"/>
    <w:multiLevelType w:val="multilevel"/>
    <w:tmpl w:val="FA10E85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7" w15:restartNumberingAfterBreak="0">
    <w:nsid w:val="7F52506D"/>
    <w:multiLevelType w:val="hybridMultilevel"/>
    <w:tmpl w:val="3C4E0FAE"/>
    <w:lvl w:ilvl="0" w:tplc="59742E4C">
      <w:start w:val="1"/>
      <w:numFmt w:val="bullet"/>
      <w:lvlText w:val=""/>
      <w:lvlPicBulletId w:val="0"/>
      <w:lvlJc w:val="left"/>
      <w:pPr>
        <w:ind w:left="768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hint="default" w:ascii="Wingdings" w:hAnsi="Wingdings"/>
      </w:rPr>
    </w:lvl>
  </w:abstractNum>
  <w:num w:numId="1" w16cid:durableId="51976042">
    <w:abstractNumId w:val="3"/>
  </w:num>
  <w:num w:numId="2" w16cid:durableId="433329846">
    <w:abstractNumId w:val="16"/>
  </w:num>
  <w:num w:numId="3" w16cid:durableId="222369851">
    <w:abstractNumId w:val="4"/>
  </w:num>
  <w:num w:numId="4" w16cid:durableId="1904412366">
    <w:abstractNumId w:val="10"/>
  </w:num>
  <w:num w:numId="5" w16cid:durableId="1608662123">
    <w:abstractNumId w:val="1"/>
  </w:num>
  <w:num w:numId="6" w16cid:durableId="229199557">
    <w:abstractNumId w:val="7"/>
  </w:num>
  <w:num w:numId="7" w16cid:durableId="445974591">
    <w:abstractNumId w:val="0"/>
  </w:num>
  <w:num w:numId="8" w16cid:durableId="917834947">
    <w:abstractNumId w:val="5"/>
  </w:num>
  <w:num w:numId="9" w16cid:durableId="1582522419">
    <w:abstractNumId w:val="12"/>
  </w:num>
  <w:num w:numId="10" w16cid:durableId="641230587">
    <w:abstractNumId w:val="15"/>
  </w:num>
  <w:num w:numId="11" w16cid:durableId="662707286">
    <w:abstractNumId w:val="8"/>
  </w:num>
  <w:num w:numId="12" w16cid:durableId="1160534942">
    <w:abstractNumId w:val="9"/>
  </w:num>
  <w:num w:numId="13" w16cid:durableId="766274943">
    <w:abstractNumId w:val="12"/>
  </w:num>
  <w:num w:numId="14" w16cid:durableId="292102765">
    <w:abstractNumId w:val="11"/>
  </w:num>
  <w:num w:numId="15" w16cid:durableId="696927247">
    <w:abstractNumId w:val="13"/>
  </w:num>
  <w:num w:numId="16" w16cid:durableId="27949688">
    <w:abstractNumId w:val="2"/>
  </w:num>
  <w:num w:numId="17" w16cid:durableId="508257129">
    <w:abstractNumId w:val="6"/>
  </w:num>
  <w:num w:numId="18" w16cid:durableId="587234825">
    <w:abstractNumId w:val="17"/>
  </w:num>
  <w:num w:numId="19" w16cid:durableId="2085565839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284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C3B"/>
    <w:rsid w:val="00033052"/>
    <w:rsid w:val="00071941"/>
    <w:rsid w:val="00074399"/>
    <w:rsid w:val="000A2F07"/>
    <w:rsid w:val="000B7FA0"/>
    <w:rsid w:val="000D4426"/>
    <w:rsid w:val="000D7015"/>
    <w:rsid w:val="00111FCE"/>
    <w:rsid w:val="001312CC"/>
    <w:rsid w:val="001314B7"/>
    <w:rsid w:val="00142C39"/>
    <w:rsid w:val="00177648"/>
    <w:rsid w:val="00184016"/>
    <w:rsid w:val="001A38BB"/>
    <w:rsid w:val="001C2906"/>
    <w:rsid w:val="001D7C42"/>
    <w:rsid w:val="00204E61"/>
    <w:rsid w:val="00216D49"/>
    <w:rsid w:val="00220616"/>
    <w:rsid w:val="00231253"/>
    <w:rsid w:val="00247589"/>
    <w:rsid w:val="00264257"/>
    <w:rsid w:val="00271875"/>
    <w:rsid w:val="0029742A"/>
    <w:rsid w:val="002B436D"/>
    <w:rsid w:val="002C55F2"/>
    <w:rsid w:val="002C7332"/>
    <w:rsid w:val="002D2CAE"/>
    <w:rsid w:val="002E28D3"/>
    <w:rsid w:val="00307A9E"/>
    <w:rsid w:val="00331102"/>
    <w:rsid w:val="0035628F"/>
    <w:rsid w:val="00356D4E"/>
    <w:rsid w:val="00363DB3"/>
    <w:rsid w:val="0037104E"/>
    <w:rsid w:val="00376702"/>
    <w:rsid w:val="00385F45"/>
    <w:rsid w:val="00393737"/>
    <w:rsid w:val="003D47D4"/>
    <w:rsid w:val="003F53B4"/>
    <w:rsid w:val="004035C9"/>
    <w:rsid w:val="00404271"/>
    <w:rsid w:val="004365DC"/>
    <w:rsid w:val="00447E10"/>
    <w:rsid w:val="004709C9"/>
    <w:rsid w:val="00473E49"/>
    <w:rsid w:val="00480599"/>
    <w:rsid w:val="00480B6C"/>
    <w:rsid w:val="00497C38"/>
    <w:rsid w:val="004A2BFF"/>
    <w:rsid w:val="004A43F5"/>
    <w:rsid w:val="004B7F16"/>
    <w:rsid w:val="004C4BD5"/>
    <w:rsid w:val="004E78CA"/>
    <w:rsid w:val="00514868"/>
    <w:rsid w:val="00562A13"/>
    <w:rsid w:val="005720AE"/>
    <w:rsid w:val="005A722C"/>
    <w:rsid w:val="005E14B9"/>
    <w:rsid w:val="005E400D"/>
    <w:rsid w:val="00613DE3"/>
    <w:rsid w:val="006404EA"/>
    <w:rsid w:val="00693325"/>
    <w:rsid w:val="006A48F7"/>
    <w:rsid w:val="006B5500"/>
    <w:rsid w:val="006C5E51"/>
    <w:rsid w:val="006D398B"/>
    <w:rsid w:val="006E5151"/>
    <w:rsid w:val="007534CB"/>
    <w:rsid w:val="00773C87"/>
    <w:rsid w:val="007C7DE2"/>
    <w:rsid w:val="00817FBD"/>
    <w:rsid w:val="0082083D"/>
    <w:rsid w:val="00821746"/>
    <w:rsid w:val="00835EC6"/>
    <w:rsid w:val="00842A96"/>
    <w:rsid w:val="00861FD9"/>
    <w:rsid w:val="00881666"/>
    <w:rsid w:val="008944DB"/>
    <w:rsid w:val="00894E2C"/>
    <w:rsid w:val="00897931"/>
    <w:rsid w:val="008A16C1"/>
    <w:rsid w:val="008B11CB"/>
    <w:rsid w:val="008C12DF"/>
    <w:rsid w:val="008E5FAC"/>
    <w:rsid w:val="008F1B90"/>
    <w:rsid w:val="009079ED"/>
    <w:rsid w:val="00910AE0"/>
    <w:rsid w:val="009423FA"/>
    <w:rsid w:val="00990741"/>
    <w:rsid w:val="009D34B1"/>
    <w:rsid w:val="00A1272B"/>
    <w:rsid w:val="00A15478"/>
    <w:rsid w:val="00A1645F"/>
    <w:rsid w:val="00A26D9F"/>
    <w:rsid w:val="00A344FD"/>
    <w:rsid w:val="00A41C33"/>
    <w:rsid w:val="00A507EB"/>
    <w:rsid w:val="00A65C00"/>
    <w:rsid w:val="00A823DC"/>
    <w:rsid w:val="00AF2386"/>
    <w:rsid w:val="00AF2EE3"/>
    <w:rsid w:val="00AF6EBC"/>
    <w:rsid w:val="00B07B5A"/>
    <w:rsid w:val="00B367A2"/>
    <w:rsid w:val="00B6528E"/>
    <w:rsid w:val="00BC3873"/>
    <w:rsid w:val="00BE6398"/>
    <w:rsid w:val="00C137BD"/>
    <w:rsid w:val="00C160F1"/>
    <w:rsid w:val="00C22FB9"/>
    <w:rsid w:val="00C35AD6"/>
    <w:rsid w:val="00C512E0"/>
    <w:rsid w:val="00C62A49"/>
    <w:rsid w:val="00C73D58"/>
    <w:rsid w:val="00C80F84"/>
    <w:rsid w:val="00CA6B78"/>
    <w:rsid w:val="00CC6A4A"/>
    <w:rsid w:val="00CE6208"/>
    <w:rsid w:val="00CE7E5C"/>
    <w:rsid w:val="00D06204"/>
    <w:rsid w:val="00D156F3"/>
    <w:rsid w:val="00D218B8"/>
    <w:rsid w:val="00D308B2"/>
    <w:rsid w:val="00D31637"/>
    <w:rsid w:val="00D325F0"/>
    <w:rsid w:val="00D52438"/>
    <w:rsid w:val="00D926B9"/>
    <w:rsid w:val="00DA230B"/>
    <w:rsid w:val="00DA65EA"/>
    <w:rsid w:val="00DE30A1"/>
    <w:rsid w:val="00E00110"/>
    <w:rsid w:val="00E02BE8"/>
    <w:rsid w:val="00E13A38"/>
    <w:rsid w:val="00E14ECE"/>
    <w:rsid w:val="00E349C9"/>
    <w:rsid w:val="00E43B44"/>
    <w:rsid w:val="00E44712"/>
    <w:rsid w:val="00E55CF2"/>
    <w:rsid w:val="00E57B56"/>
    <w:rsid w:val="00E636A5"/>
    <w:rsid w:val="00E65040"/>
    <w:rsid w:val="00E84DDA"/>
    <w:rsid w:val="00ED070D"/>
    <w:rsid w:val="00ED1A8C"/>
    <w:rsid w:val="00ED20A8"/>
    <w:rsid w:val="00EE210B"/>
    <w:rsid w:val="00F128E6"/>
    <w:rsid w:val="00F205F0"/>
    <w:rsid w:val="00F51D58"/>
    <w:rsid w:val="00F86C3B"/>
    <w:rsid w:val="00FB64C6"/>
    <w:rsid w:val="00FC1C2F"/>
    <w:rsid w:val="00FC3847"/>
    <w:rsid w:val="00FE7C11"/>
    <w:rsid w:val="00FE7E1D"/>
    <w:rsid w:val="22DD6A0A"/>
    <w:rsid w:val="3604602D"/>
    <w:rsid w:val="371FFC7F"/>
    <w:rsid w:val="5456F991"/>
    <w:rsid w:val="60DED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7FEF2172"/>
  <w14:defaultImageDpi w14:val="330"/>
  <w15:chartTrackingRefBased/>
  <w15:docId w15:val="{C1329BB8-E418-4BC7-A6A1-91818468AD2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218B8"/>
    <w:pPr>
      <w:spacing w:after="0" w:line="280" w:lineRule="exact"/>
    </w:pPr>
    <w:rPr>
      <w:rFonts w:asciiTheme="majorHAnsi" w:hAnsiTheme="majorHAnsi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FC3847"/>
    <w:pPr>
      <w:spacing w:line="240" w:lineRule="auto"/>
      <w:outlineLvl w:val="0"/>
    </w:pPr>
    <w:rPr>
      <w:rFonts w:cstheme="majorHAnsi"/>
      <w:noProof/>
      <w:color w:val="00524F"/>
      <w:sz w:val="52"/>
      <w:szCs w:val="48"/>
      <w:lang w:val="en-GB" w:eastAsia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3847"/>
    <w:pPr>
      <w:keepNext/>
      <w:keepLines/>
      <w:spacing w:before="60" w:after="60" w:line="240" w:lineRule="auto"/>
      <w:outlineLvl w:val="1"/>
    </w:pPr>
    <w:rPr>
      <w:rFonts w:asciiTheme="minorHAnsi" w:hAnsiTheme="minorHAnsi" w:eastAsiaTheme="majorEastAsia" w:cstheme="minorHAnsi"/>
      <w:color w:val="00524F"/>
      <w:sz w:val="36"/>
      <w:szCs w:val="26"/>
      <w:lang w:val="en-GB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14868"/>
    <w:pPr>
      <w:keepNext/>
      <w:keepLines/>
      <w:spacing w:after="240" w:line="240" w:lineRule="auto"/>
      <w:outlineLvl w:val="2"/>
    </w:pPr>
    <w:rPr>
      <w:rFonts w:eastAsiaTheme="majorEastAsia" w:cstheme="majorBidi"/>
      <w:color w:val="00524F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14868"/>
    <w:pPr>
      <w:keepNext/>
      <w:keepLines/>
      <w:spacing w:after="240" w:line="240" w:lineRule="auto"/>
      <w:outlineLvl w:val="3"/>
    </w:pPr>
    <w:rPr>
      <w:rFonts w:eastAsiaTheme="majorEastAsia" w:cstheme="majorBidi"/>
      <w:iCs/>
      <w:color w:val="00524F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35AD6"/>
    <w:pPr>
      <w:keepNext/>
      <w:keepLines/>
      <w:spacing w:before="40"/>
      <w:outlineLvl w:val="4"/>
    </w:pPr>
    <w:rPr>
      <w:rFonts w:eastAsiaTheme="majorEastAsia" w:cstheme="majorBidi"/>
      <w:color w:val="2E74B5" w:themeColor="accent1" w:themeShade="BF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6B9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D926B9"/>
  </w:style>
  <w:style w:type="paragraph" w:styleId="Pieddepage">
    <w:name w:val="footer"/>
    <w:basedOn w:val="Normal"/>
    <w:link w:val="PieddepageCar"/>
    <w:uiPriority w:val="99"/>
    <w:unhideWhenUsed/>
    <w:rsid w:val="00D926B9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D926B9"/>
  </w:style>
  <w:style w:type="table" w:styleId="Grilledutableau">
    <w:name w:val="Table Grid"/>
    <w:basedOn w:val="TableauNormal"/>
    <w:uiPriority w:val="39"/>
    <w:rsid w:val="00D926B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edelespacerserv">
    <w:name w:val="Placeholder Text"/>
    <w:basedOn w:val="Policepardfaut"/>
    <w:uiPriority w:val="99"/>
    <w:semiHidden/>
    <w:rsid w:val="009423FA"/>
    <w:rPr>
      <w:color w:val="808080"/>
    </w:rPr>
  </w:style>
  <w:style w:type="character" w:styleId="Titre1Car" w:customStyle="1">
    <w:name w:val="Titre 1 Car"/>
    <w:basedOn w:val="Policepardfaut"/>
    <w:link w:val="Titre1"/>
    <w:uiPriority w:val="9"/>
    <w:rsid w:val="00FC3847"/>
    <w:rPr>
      <w:rFonts w:asciiTheme="majorHAnsi" w:hAnsiTheme="majorHAnsi" w:cstheme="majorHAnsi"/>
      <w:noProof/>
      <w:color w:val="00524F"/>
      <w:sz w:val="52"/>
      <w:szCs w:val="48"/>
      <w:lang w:val="en-GB" w:eastAsia="en-GB"/>
    </w:rPr>
  </w:style>
  <w:style w:type="character" w:styleId="Titre2Car" w:customStyle="1">
    <w:name w:val="Titre 2 Car"/>
    <w:basedOn w:val="Policepardfaut"/>
    <w:link w:val="Titre2"/>
    <w:uiPriority w:val="9"/>
    <w:rsid w:val="00FC3847"/>
    <w:rPr>
      <w:rFonts w:eastAsiaTheme="majorEastAsia" w:cstheme="minorHAnsi"/>
      <w:color w:val="00524F"/>
      <w:sz w:val="36"/>
      <w:szCs w:val="26"/>
      <w:lang w:val="en-GB"/>
    </w:rPr>
  </w:style>
  <w:style w:type="character" w:styleId="Titre3Car" w:customStyle="1">
    <w:name w:val="Titre 3 Car"/>
    <w:basedOn w:val="Policepardfaut"/>
    <w:link w:val="Titre3"/>
    <w:uiPriority w:val="9"/>
    <w:rsid w:val="00514868"/>
    <w:rPr>
      <w:rFonts w:eastAsiaTheme="majorEastAsia" w:cstheme="majorBidi"/>
      <w:color w:val="00524F"/>
      <w:sz w:val="28"/>
      <w:szCs w:val="24"/>
    </w:rPr>
  </w:style>
  <w:style w:type="character" w:styleId="Titre4Car" w:customStyle="1">
    <w:name w:val="Titre 4 Car"/>
    <w:basedOn w:val="Policepardfaut"/>
    <w:link w:val="Titre4"/>
    <w:uiPriority w:val="9"/>
    <w:rsid w:val="00514868"/>
    <w:rPr>
      <w:rFonts w:eastAsiaTheme="majorEastAsia" w:cstheme="majorBidi"/>
      <w:iCs/>
      <w:color w:val="00524F"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ED20A8"/>
    <w:pPr>
      <w:spacing w:after="100"/>
      <w:ind w:left="200"/>
    </w:pPr>
    <w:rPr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D20A8"/>
    <w:pPr>
      <w:tabs>
        <w:tab w:val="right" w:leader="underscore" w:pos="10194"/>
      </w:tabs>
      <w:spacing w:after="120"/>
    </w:pPr>
    <w:rPr>
      <w:noProof/>
      <w:color w:val="00524F"/>
      <w:sz w:val="26"/>
      <w:lang w:val="en-GB"/>
    </w:rPr>
  </w:style>
  <w:style w:type="character" w:styleId="Lienhypertexte">
    <w:name w:val="Hyperlink"/>
    <w:basedOn w:val="Policepardfaut"/>
    <w:uiPriority w:val="99"/>
    <w:unhideWhenUsed/>
    <w:rsid w:val="00FE7E1D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D20A8"/>
    <w:pPr>
      <w:spacing w:line="259" w:lineRule="auto"/>
      <w:outlineLvl w:val="9"/>
    </w:pPr>
    <w:rPr>
      <w:sz w:val="36"/>
    </w:rPr>
  </w:style>
  <w:style w:type="paragraph" w:styleId="TM3">
    <w:name w:val="toc 3"/>
    <w:basedOn w:val="Normal"/>
    <w:next w:val="Normal"/>
    <w:autoRedefine/>
    <w:uiPriority w:val="39"/>
    <w:unhideWhenUsed/>
    <w:rsid w:val="004B7F16"/>
    <w:pPr>
      <w:tabs>
        <w:tab w:val="right" w:leader="underscore" w:pos="10194"/>
      </w:tabs>
      <w:spacing w:after="100" w:line="259" w:lineRule="auto"/>
    </w:pPr>
    <w:rPr>
      <w:rFonts w:cs="Times New Roman" w:eastAsiaTheme="minorEastAsia"/>
      <w:sz w:val="22"/>
      <w:lang w:val="en-GB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18B8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D218B8"/>
    <w:rPr>
      <w:rFonts w:ascii="Segoe UI" w:hAnsi="Segoe UI" w:cs="Segoe UI"/>
      <w:sz w:val="18"/>
      <w:szCs w:val="18"/>
    </w:rPr>
  </w:style>
  <w:style w:type="character" w:styleId="Titre5Car" w:customStyle="1">
    <w:name w:val="Titre 5 Car"/>
    <w:basedOn w:val="Policepardfaut"/>
    <w:link w:val="Titre5"/>
    <w:uiPriority w:val="9"/>
    <w:rsid w:val="00C35AD6"/>
    <w:rPr>
      <w:rFonts w:asciiTheme="majorHAnsi" w:hAnsiTheme="majorHAnsi" w:eastAsiaTheme="majorEastAsia" w:cstheme="majorBidi"/>
      <w:color w:val="2E74B5" w:themeColor="accent1" w:themeShade="BF"/>
      <w:sz w:val="21"/>
    </w:rPr>
  </w:style>
  <w:style w:type="paragraph" w:styleId="Paragraphedeliste">
    <w:name w:val="List Paragraph"/>
    <w:aliases w:val="Paragrafo elenco livello 1,Paragrafo elenco1,EC,Paragraphe de liste11,Colorful List Accent 1,List Paragraph (numbered (a)),List_Paragraph,Multilevel para_II,List Paragraph1,Rec para,Dot pt,F5 List Paragraph,No Spacing1,Bullet 1,2"/>
    <w:basedOn w:val="Normal"/>
    <w:link w:val="ParagraphedelisteCar"/>
    <w:uiPriority w:val="34"/>
    <w:qFormat/>
    <w:rsid w:val="006B5500"/>
    <w:pPr>
      <w:numPr>
        <w:numId w:val="9"/>
      </w:numPr>
      <w:spacing w:before="60" w:after="60"/>
    </w:pPr>
    <w:rPr>
      <w:lang w:val="en-GB"/>
    </w:rPr>
  </w:style>
  <w:style w:type="paragraph" w:styleId="Sansinterligne">
    <w:name w:val="No Spacing"/>
    <w:uiPriority w:val="1"/>
    <w:qFormat/>
    <w:rsid w:val="006404EA"/>
    <w:pPr>
      <w:spacing w:after="0" w:line="240" w:lineRule="auto"/>
    </w:pPr>
    <w:rPr>
      <w:rFonts w:asciiTheme="majorHAnsi" w:hAnsiTheme="majorHAnsi"/>
      <w:sz w:val="21"/>
    </w:rPr>
  </w:style>
  <w:style w:type="paragraph" w:styleId="Notedebasdepage">
    <w:name w:val="footnote text"/>
    <w:basedOn w:val="Normal"/>
    <w:link w:val="NotedebasdepageCar"/>
    <w:uiPriority w:val="99"/>
    <w:unhideWhenUsed/>
    <w:rsid w:val="00773C87"/>
    <w:pPr>
      <w:spacing w:line="240" w:lineRule="auto"/>
      <w:jc w:val="both"/>
    </w:pPr>
    <w:rPr>
      <w:rFonts w:eastAsia="Signika Light" w:cs="Signika Light" w:asciiTheme="minorHAnsi" w:hAnsiTheme="minorHAnsi"/>
      <w:color w:val="012624"/>
      <w:sz w:val="16"/>
      <w:szCs w:val="20"/>
      <w:lang w:eastAsia="fr-FR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773C87"/>
    <w:rPr>
      <w:rFonts w:eastAsia="Signika Light" w:cs="Signika Light"/>
      <w:color w:val="012624"/>
      <w:sz w:val="16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73C87"/>
    <w:rPr>
      <w:rFonts w:asciiTheme="minorHAnsi" w:hAnsiTheme="minorHAnsi"/>
      <w:vertAlign w:val="superscript"/>
    </w:rPr>
  </w:style>
  <w:style w:type="character" w:styleId="Rfrenceintense">
    <w:name w:val="Intense Reference"/>
    <w:basedOn w:val="Policepardfaut"/>
    <w:uiPriority w:val="32"/>
    <w:qFormat/>
    <w:rsid w:val="00773C87"/>
    <w:rPr>
      <w:rFonts w:asciiTheme="minorHAnsi" w:hAnsiTheme="minorHAnsi"/>
      <w:b/>
      <w:bCs/>
      <w:caps w:val="0"/>
      <w:smallCaps/>
      <w:color w:val="44546A" w:themeColor="text2"/>
      <w:u w:val="none"/>
    </w:rPr>
  </w:style>
  <w:style w:type="character" w:styleId="ParagraphedelisteCar" w:customStyle="1">
    <w:name w:val="Paragraphe de liste Car"/>
    <w:aliases w:val="Paragrafo elenco livello 1 Car,Paragrafo elenco1 Car,EC Car,Paragraphe de liste11 Car,Colorful List Accent 1 Car,List Paragraph (numbered (a)) Car,List_Paragraph Car,Multilevel para_II Car,List Paragraph1 Car,Rec para Car,2 Car"/>
    <w:link w:val="Paragraphedeliste"/>
    <w:uiPriority w:val="34"/>
    <w:qFormat/>
    <w:locked/>
    <w:rsid w:val="006B5500"/>
    <w:rPr>
      <w:rFonts w:asciiTheme="majorHAnsi" w:hAnsiTheme="majorHAnsi"/>
      <w:sz w:val="21"/>
      <w:lang w:val="en-GB"/>
    </w:rPr>
  </w:style>
  <w:style w:type="paragraph" w:styleId="Citation">
    <w:name w:val="Quote"/>
    <w:basedOn w:val="Normal"/>
    <w:next w:val="Normal"/>
    <w:link w:val="CitationCar"/>
    <w:uiPriority w:val="29"/>
    <w:qFormat/>
    <w:rsid w:val="00FC3847"/>
    <w:pPr>
      <w:spacing w:line="340" w:lineRule="exact"/>
      <w:jc w:val="center"/>
    </w:pPr>
    <w:rPr>
      <w:rFonts w:asciiTheme="minorHAnsi" w:hAnsiTheme="minorHAnsi" w:cstheme="minorHAnsi"/>
      <w:i/>
      <w:color w:val="00524F"/>
      <w:sz w:val="28"/>
      <w:szCs w:val="26"/>
      <w:lang w:val="en-GB"/>
    </w:rPr>
  </w:style>
  <w:style w:type="character" w:styleId="CitationCar" w:customStyle="1">
    <w:name w:val="Citation Car"/>
    <w:basedOn w:val="Policepardfaut"/>
    <w:link w:val="Citation"/>
    <w:uiPriority w:val="29"/>
    <w:rsid w:val="00FC3847"/>
    <w:rPr>
      <w:rFonts w:cstheme="minorHAnsi"/>
      <w:i/>
      <w:color w:val="00524F"/>
      <w:sz w:val="28"/>
      <w:szCs w:val="26"/>
      <w:lang w:val="en-GB"/>
    </w:rPr>
  </w:style>
  <w:style w:type="character" w:styleId="Rfrencelgre">
    <w:name w:val="Subtle Reference"/>
    <w:basedOn w:val="Policepardfaut"/>
    <w:uiPriority w:val="31"/>
    <w:qFormat/>
    <w:rsid w:val="00FC3847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3847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FC3847"/>
    <w:rPr>
      <w:rFonts w:asciiTheme="majorHAnsi" w:hAnsiTheme="majorHAnsi"/>
      <w:i/>
      <w:iCs/>
      <w:color w:val="5B9BD5" w:themeColor="accent1"/>
      <w:sz w:val="21"/>
    </w:rPr>
  </w:style>
  <w:style w:type="character" w:styleId="Accentuationlgre">
    <w:name w:val="Subtle Emphasis"/>
    <w:basedOn w:val="Policepardfaut"/>
    <w:uiPriority w:val="19"/>
    <w:qFormat/>
    <w:rsid w:val="00FC3847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A823DC"/>
    <w:rPr>
      <w:rFonts w:asciiTheme="majorHAnsi" w:hAnsiTheme="majorHAnsi"/>
      <w:iCs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AFF310AFEBC42B6042349BED0EC1A" ma:contentTypeVersion="11" ma:contentTypeDescription="Crée un document." ma:contentTypeScope="" ma:versionID="7817ab161b1a129db83ba63992cdb791">
  <xsd:schema xmlns:xsd="http://www.w3.org/2001/XMLSchema" xmlns:xs="http://www.w3.org/2001/XMLSchema" xmlns:p="http://schemas.microsoft.com/office/2006/metadata/properties" xmlns:ns2="b7e7eb39-2d8f-4e38-b576-4149bd37b74e" targetNamespace="http://schemas.microsoft.com/office/2006/metadata/properties" ma:root="true" ma:fieldsID="b3348d2e02b92b21b4ad50d7244c41c4" ns2:_="">
    <xsd:import namespace="b7e7eb39-2d8f-4e38-b576-4149bd37b7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7eb39-2d8f-4e38-b576-4149bd37b7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9ed7a92-d720-4bba-8ca4-cede4c019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e7eb39-2d8f-4e38-b576-4149bd37b7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CD342C-CEA2-4D29-9D4C-43C6BBDCB7D7}"/>
</file>

<file path=customXml/itemProps3.xml><?xml version="1.0" encoding="utf-8"?>
<ds:datastoreItem xmlns:ds="http://schemas.openxmlformats.org/officeDocument/2006/customXml" ds:itemID="{A4D510DF-4AA6-4F09-920F-5A8BCCCA3D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28B11C-1D4D-4071-ADD9-9FEEFAADF39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A8223C1-2531-4E21-BB4B-006C30524C8F}">
  <ds:schemaRefs>
    <ds:schemaRef ds:uri="http://schemas.microsoft.com/office/2006/metadata/properties"/>
    <ds:schemaRef ds:uri="http://schemas.microsoft.com/office/infopath/2007/PartnerControls"/>
    <ds:schemaRef ds:uri="f14a7308-faa0-4a31-8ffc-8ba241958c01"/>
    <ds:schemaRef ds:uri="8f0c7dae-952e-4b54-b099-8a1eac3a7de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Company Name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Hauke Nadzeika</dc:creator>
  <cp:keywords/>
  <dc:description/>
  <cp:lastModifiedBy>Anne Maurer</cp:lastModifiedBy>
  <cp:revision>9</cp:revision>
  <cp:lastPrinted>2025-01-14T08:06:00Z</cp:lastPrinted>
  <dcterms:created xsi:type="dcterms:W3CDTF">2025-01-30T07:25:00Z</dcterms:created>
  <dcterms:modified xsi:type="dcterms:W3CDTF">2025-02-21T09:01:52Z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0x0101006BDAFF310AFEBC42B6042349BED0EC1A</vt:lpwstr>
  </property>
  <property fmtid="{D5CDD505-2E9C-101B-9397-08002B2CF9AE}" pid="3" name="MediaServiceImageTags">
    <vt:lpwstr/>
  </property>
</Properties>
</file>